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pStyle w:val="11"/>
        <w:numPr>
          <w:ilvl w:val="0"/>
          <w:numId w:val="2"/>
        </w:numPr>
      </w:pPr>
      <w:bookmarkStart w:id="3" w:name="_Toc379881169"/>
      <w:bookmarkStart w:id="4" w:name="_Toc404598535"/>
      <w:bookmarkStart w:id="5" w:name="_Toc410235016"/>
      <w:bookmarkStart w:id="6" w:name="_Toc410235122"/>
      <w:bookmarkStart w:id="7" w:name="_Toc439322458"/>
      <w:bookmarkEnd w:id="0"/>
      <w:bookmarkEnd w:id="1"/>
      <w:bookmarkEnd w:id="2"/>
      <w:r w:rsidRPr="00F97A45">
        <w:lastRenderedPageBreak/>
        <w:t>Нормативные правовые документы, регламентирующие проведение ОГЭ</w:t>
      </w:r>
      <w:bookmarkEnd w:id="3"/>
      <w:bookmarkEnd w:id="4"/>
      <w:bookmarkEnd w:id="5"/>
      <w:bookmarkEnd w:id="6"/>
      <w:bookmarkEnd w:id="7"/>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8" w:name="_Toc404598536"/>
      <w:r w:rsidRPr="00F97A45">
        <w:rPr>
          <w:sz w:val="26"/>
          <w:szCs w:val="26"/>
        </w:rPr>
        <w:br w:type="page"/>
      </w:r>
    </w:p>
    <w:p w:rsidR="00FE4A4B" w:rsidRPr="00F97A45" w:rsidRDefault="00FE4A4B" w:rsidP="008D0987">
      <w:pPr>
        <w:pStyle w:val="11"/>
        <w:numPr>
          <w:ilvl w:val="0"/>
          <w:numId w:val="2"/>
        </w:numPr>
      </w:pPr>
      <w:bookmarkStart w:id="9" w:name="_Toc410235017"/>
      <w:bookmarkStart w:id="10" w:name="_Toc410235123"/>
      <w:bookmarkStart w:id="11" w:name="_Toc439322459"/>
      <w:r w:rsidRPr="00F97A45">
        <w:lastRenderedPageBreak/>
        <w:t>Организация проведения ОГЭ</w:t>
      </w:r>
      <w:bookmarkEnd w:id="8"/>
      <w:bookmarkEnd w:id="9"/>
      <w:bookmarkEnd w:id="10"/>
      <w:bookmarkEnd w:id="11"/>
    </w:p>
    <w:p w:rsidR="00FE4A4B" w:rsidRPr="00F97A45" w:rsidRDefault="00FE4A4B" w:rsidP="00F97A45">
      <w:pPr>
        <w:pStyle w:val="20"/>
      </w:pPr>
      <w:bookmarkStart w:id="12" w:name="_Toc410235019"/>
      <w:bookmarkStart w:id="13" w:name="_Toc410235125"/>
      <w:bookmarkStart w:id="14" w:name="_Toc439322461"/>
      <w:r w:rsidRPr="00F97A45">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2"/>
      <w:bookmarkEnd w:id="13"/>
      <w:bookmarkEnd w:id="14"/>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8D0987">
      <w:pPr>
        <w:pStyle w:val="11"/>
        <w:numPr>
          <w:ilvl w:val="0"/>
          <w:numId w:val="2"/>
        </w:numPr>
      </w:pPr>
      <w:bookmarkStart w:id="15" w:name="_Toc404598537"/>
      <w:bookmarkStart w:id="16" w:name="_Toc410235024"/>
      <w:bookmarkStart w:id="17" w:name="_Toc410235130"/>
      <w:bookmarkStart w:id="18" w:name="_Toc439322466"/>
      <w:r w:rsidRPr="00F97A45">
        <w:t xml:space="preserve">Информация для участников </w:t>
      </w:r>
      <w:bookmarkEnd w:id="15"/>
      <w:r w:rsidRPr="00F97A45">
        <w:t>ГИА</w:t>
      </w:r>
      <w:bookmarkEnd w:id="16"/>
      <w:bookmarkEnd w:id="17"/>
      <w:bookmarkEnd w:id="18"/>
    </w:p>
    <w:p w:rsidR="00FE4A4B" w:rsidRPr="00F97A45" w:rsidRDefault="00FE4A4B" w:rsidP="00F97A45">
      <w:pPr>
        <w:pStyle w:val="20"/>
      </w:pPr>
      <w:bookmarkStart w:id="19" w:name="_Toc404598538"/>
      <w:bookmarkStart w:id="20" w:name="_Toc410235025"/>
      <w:bookmarkStart w:id="21" w:name="_Toc410235131"/>
      <w:bookmarkStart w:id="22" w:name="_Toc439322467"/>
      <w:r w:rsidRPr="00F97A45">
        <w:t>3.1</w:t>
      </w:r>
      <w:r w:rsidR="00523D5A">
        <w:t>.</w:t>
      </w:r>
      <w:r w:rsidRPr="00F97A45">
        <w:t xml:space="preserve"> Общие сведения</w:t>
      </w:r>
      <w:bookmarkEnd w:id="19"/>
      <w:bookmarkEnd w:id="20"/>
      <w:bookmarkEnd w:id="21"/>
      <w:bookmarkEnd w:id="22"/>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w:t>
      </w:r>
      <w:r w:rsidR="008501C3" w:rsidRPr="00F97A45">
        <w:rPr>
          <w:sz w:val="26"/>
          <w:szCs w:val="26"/>
        </w:rPr>
        <w:lastRenderedPageBreak/>
        <w:t>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1"/>
      </w:r>
      <w:r w:rsidRPr="00F97A45">
        <w:rPr>
          <w:bCs/>
          <w:sz w:val="26"/>
          <w:szCs w:val="26"/>
        </w:rPr>
        <w:t>,</w:t>
      </w:r>
      <w:r w:rsidRPr="00F97A45">
        <w:rPr>
          <w:rStyle w:val="afd"/>
          <w:bCs/>
          <w:sz w:val="26"/>
          <w:szCs w:val="26"/>
        </w:rPr>
        <w:footnoteReference w:id="2"/>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roofErr w:type="gramEnd"/>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23" w:name="_Toc410235026"/>
      <w:bookmarkStart w:id="24" w:name="_Toc410235132"/>
      <w:bookmarkStart w:id="25" w:name="_Toc439322468"/>
      <w:r w:rsidRPr="00F97A45">
        <w:t>3.2</w:t>
      </w:r>
      <w:r w:rsidR="00523D5A">
        <w:t>.</w:t>
      </w:r>
      <w:r w:rsidRPr="00F97A45">
        <w:t xml:space="preserve"> Категории участников ГИА</w:t>
      </w:r>
      <w:bookmarkEnd w:id="23"/>
      <w:bookmarkEnd w:id="24"/>
      <w:bookmarkEnd w:id="25"/>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 xml:space="preserve">образовательные программы основного общего </w:t>
      </w:r>
      <w:r w:rsidR="00FE4A4B" w:rsidRPr="00F97A45">
        <w:rPr>
          <w:sz w:val="26"/>
          <w:szCs w:val="26"/>
        </w:rPr>
        <w:lastRenderedPageBreak/>
        <w:t>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26" w:name="_Toc404598539"/>
      <w:bookmarkStart w:id="27" w:name="_Toc410235027"/>
      <w:bookmarkStart w:id="28" w:name="_Toc410235133"/>
      <w:bookmarkStart w:id="29"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26"/>
      <w:bookmarkEnd w:id="27"/>
      <w:bookmarkEnd w:id="28"/>
      <w:bookmarkEnd w:id="29"/>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 до 1 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w:t>
      </w:r>
      <w:r w:rsidRPr="00F97A45">
        <w:rPr>
          <w:sz w:val="26"/>
          <w:szCs w:val="26"/>
        </w:rPr>
        <w:lastRenderedPageBreak/>
        <w:t xml:space="preserve">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97A45">
        <w:rPr>
          <w:sz w:val="26"/>
          <w:szCs w:val="26"/>
        </w:rPr>
        <w:t>медико-социальной</w:t>
      </w:r>
      <w:proofErr w:type="gramEnd"/>
      <w:r w:rsidRPr="00F97A45">
        <w:rPr>
          <w:sz w:val="26"/>
          <w:szCs w:val="26"/>
        </w:rPr>
        <w:t xml:space="preserve">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30" w:name="_Toc410235028"/>
      <w:bookmarkStart w:id="31" w:name="_Toc410235134"/>
      <w:bookmarkStart w:id="32"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30"/>
      <w:bookmarkEnd w:id="31"/>
      <w:bookmarkEnd w:id="32"/>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учебному предмету 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 xml:space="preserve">ГИА </w:t>
      </w:r>
      <w:r w:rsidRPr="00F97A45">
        <w:rPr>
          <w:sz w:val="26"/>
          <w:szCs w:val="26"/>
        </w:rPr>
        <w:lastRenderedPageBreak/>
        <w:t>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33" w:name="_Toc410235030"/>
      <w:bookmarkStart w:id="34" w:name="_Toc410235136"/>
      <w:bookmarkStart w:id="35" w:name="_Toc439322477"/>
      <w:r w:rsidRPr="00F97A45">
        <w:lastRenderedPageBreak/>
        <w:t>Проведение ОГЭ</w:t>
      </w:r>
      <w:bookmarkEnd w:id="33"/>
      <w:bookmarkEnd w:id="34"/>
      <w:bookmarkEnd w:id="35"/>
    </w:p>
    <w:p w:rsidR="00523D5A" w:rsidRPr="00F97A45" w:rsidRDefault="00523D5A" w:rsidP="00523D5A">
      <w:pPr>
        <w:pStyle w:val="20"/>
        <w:rPr>
          <w:lang w:eastAsia="en-US"/>
        </w:rPr>
      </w:pPr>
      <w:bookmarkStart w:id="36" w:name="_Toc439322478"/>
      <w:r>
        <w:rPr>
          <w:lang w:eastAsia="en-US"/>
        </w:rPr>
        <w:t xml:space="preserve">5.1. </w:t>
      </w:r>
      <w:r w:rsidRPr="00F97A45">
        <w:rPr>
          <w:lang w:eastAsia="en-US"/>
        </w:rPr>
        <w:t>Общая часть</w:t>
      </w:r>
      <w:bookmarkEnd w:id="36"/>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lastRenderedPageBreak/>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lastRenderedPageBreak/>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37"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37"/>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3"/>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w:t>
      </w:r>
      <w:r w:rsidRPr="00F97A45">
        <w:rPr>
          <w:sz w:val="26"/>
          <w:szCs w:val="26"/>
        </w:rPr>
        <w:lastRenderedPageBreak/>
        <w:t>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38" w:name="_Toc439322480"/>
      <w:r>
        <w:t xml:space="preserve">5.3 </w:t>
      </w:r>
      <w:r w:rsidR="00FE4A4B" w:rsidRPr="00F97A45">
        <w:t>Завершение ОГЭ</w:t>
      </w:r>
      <w:bookmarkEnd w:id="38"/>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lastRenderedPageBreak/>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39" w:name="_Toc410235031"/>
      <w:bookmarkStart w:id="40" w:name="_Toc410235137"/>
      <w:bookmarkStart w:id="41" w:name="_Toc439322481"/>
      <w:r w:rsidRPr="00F97A45">
        <w:lastRenderedPageBreak/>
        <w:t>Особенности проведения ОГЭ для отдельных групп участников</w:t>
      </w:r>
      <w:bookmarkStart w:id="42" w:name="_Ref369009104"/>
      <w:bookmarkEnd w:id="39"/>
      <w:bookmarkEnd w:id="40"/>
      <w:bookmarkEnd w:id="41"/>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42"/>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w:t>
      </w:r>
      <w:proofErr w:type="spellStart"/>
      <w:r w:rsidRPr="00F97A45">
        <w:rPr>
          <w:sz w:val="26"/>
          <w:szCs w:val="26"/>
        </w:rPr>
        <w:t>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lastRenderedPageBreak/>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43" w:name="_Toc410235032"/>
      <w:bookmarkStart w:id="44" w:name="_Toc410235138"/>
      <w:bookmarkStart w:id="45"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43"/>
      <w:bookmarkEnd w:id="44"/>
      <w:bookmarkEnd w:id="45"/>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46" w:name="_Toc410235033"/>
      <w:bookmarkStart w:id="47" w:name="_Toc410235139"/>
      <w:bookmarkStart w:id="48"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46"/>
      <w:bookmarkEnd w:id="47"/>
      <w:bookmarkEnd w:id="48"/>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 xml:space="preserve">официального дня </w:t>
      </w:r>
      <w:r w:rsidRPr="00F97A45">
        <w:rPr>
          <w:sz w:val="26"/>
          <w:szCs w:val="26"/>
        </w:rPr>
        <w:lastRenderedPageBreak/>
        <w:t>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49" w:name="_Toc379881171"/>
      <w:bookmarkStart w:id="50"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lastRenderedPageBreak/>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34"/>
      <w:bookmarkStart w:id="52" w:name="_Toc410235140"/>
      <w:bookmarkStart w:id="53" w:name="_Toc439322484"/>
      <w:r w:rsidRPr="00F97A45">
        <w:lastRenderedPageBreak/>
        <w:t>Примерные правила заполнения бланков ответов участников ОГЭ</w:t>
      </w:r>
      <w:bookmarkEnd w:id="49"/>
      <w:bookmarkEnd w:id="50"/>
      <w:bookmarkEnd w:id="51"/>
      <w:bookmarkEnd w:id="52"/>
      <w:bookmarkEnd w:id="53"/>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54" w:name="_Toc439322485"/>
      <w:r>
        <w:t xml:space="preserve">9.1. </w:t>
      </w:r>
      <w:r w:rsidR="00FE4A4B" w:rsidRPr="00F97A45">
        <w:t xml:space="preserve">Заполнение </w:t>
      </w:r>
      <w:r w:rsidR="00A221A2" w:rsidRPr="00F97A45">
        <w:t>Б</w:t>
      </w:r>
      <w:r w:rsidR="00FE4A4B" w:rsidRPr="00F97A45">
        <w:t>ланка ответов №1</w:t>
      </w:r>
      <w:bookmarkEnd w:id="54"/>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lastRenderedPageBreak/>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55" w:name="_Toc439322486"/>
      <w:r>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55"/>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56" w:name="_Toc439322487"/>
      <w:r>
        <w:lastRenderedPageBreak/>
        <w:t xml:space="preserve">9.3. </w:t>
      </w:r>
      <w:r w:rsidR="00FE4A4B" w:rsidRPr="00F97A45">
        <w:t>Замена ошибочных ответов</w:t>
      </w:r>
      <w:bookmarkEnd w:id="56"/>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57" w:name="_Toc439322488"/>
      <w:r>
        <w:t xml:space="preserve">9.4 </w:t>
      </w:r>
      <w:r w:rsidR="00FE4A4B" w:rsidRPr="00F97A45">
        <w:t xml:space="preserve">Заполнение </w:t>
      </w:r>
      <w:r w:rsidR="00A221A2" w:rsidRPr="00F97A45">
        <w:t>Б</w:t>
      </w:r>
      <w:r w:rsidR="00FE4A4B" w:rsidRPr="00F97A45">
        <w:t>ланка ответов №2</w:t>
      </w:r>
      <w:bookmarkEnd w:id="57"/>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lastRenderedPageBreak/>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58" w:name="_Toc439322489"/>
      <w:r>
        <w:t xml:space="preserve">9.5. </w:t>
      </w:r>
      <w:r w:rsidR="00FE4A4B" w:rsidRPr="00F97A45">
        <w:t xml:space="preserve">Заполнение дополнительного </w:t>
      </w:r>
      <w:r w:rsidR="00A221A2" w:rsidRPr="00F97A45">
        <w:t>Б</w:t>
      </w:r>
      <w:r w:rsidR="00FE4A4B" w:rsidRPr="00F97A45">
        <w:t>ланка ответов №2</w:t>
      </w:r>
      <w:bookmarkEnd w:id="58"/>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59" w:name="_Toc287946670"/>
      <w:bookmarkStart w:id="60" w:name="_Toc410235039"/>
      <w:bookmarkStart w:id="61" w:name="_Toc410235145"/>
      <w:bookmarkStart w:id="62"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59"/>
      <w:bookmarkEnd w:id="60"/>
      <w:bookmarkEnd w:id="61"/>
      <w:bookmarkEnd w:id="62"/>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06C1A" w:rsidRPr="008D5452" w:rsidRDefault="00506C1A"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06C1A" w:rsidRPr="008D5452" w:rsidRDefault="00506C1A"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4"/>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06C1A">
                              <w:trPr>
                                <w:cantSplit/>
                                <w:trHeight w:val="356"/>
                                <w:jc w:val="center"/>
                              </w:trPr>
                              <w:tc>
                                <w:tcPr>
                                  <w:tcW w:w="3101" w:type="dxa"/>
                                  <w:gridSpan w:val="8"/>
                                  <w:tcBorders>
                                    <w:top w:val="nil"/>
                                    <w:left w:val="nil"/>
                                    <w:bottom w:val="nil"/>
                                    <w:right w:val="nil"/>
                                  </w:tcBorders>
                                </w:tcPr>
                                <w:p w:rsidR="00506C1A" w:rsidRPr="006220F9" w:rsidRDefault="00506C1A" w:rsidP="00DE5526">
                                  <w:pPr>
                                    <w:jc w:val="center"/>
                                  </w:pPr>
                                  <w:r w:rsidRPr="006220F9">
                                    <w:t xml:space="preserve">Дата проведения </w:t>
                                  </w:r>
                                  <w:r>
                                    <w:t>ОГЭ</w:t>
                                  </w:r>
                                </w:p>
                              </w:tc>
                            </w:tr>
                            <w:tr w:rsidR="00506C1A" w:rsidTr="00EF51D6">
                              <w:trPr>
                                <w:trHeight w:val="162"/>
                                <w:jc w:val="center"/>
                              </w:trPr>
                              <w:tc>
                                <w:tcPr>
                                  <w:tcW w:w="387" w:type="dxa"/>
                                  <w:shd w:val="clear" w:color="auto" w:fill="FFFFFF" w:themeFill="background1"/>
                                </w:tcPr>
                                <w:p w:rsidR="00506C1A" w:rsidRDefault="00506C1A">
                                  <w:pPr>
                                    <w:jc w:val="center"/>
                                  </w:pPr>
                                </w:p>
                              </w:tc>
                              <w:tc>
                                <w:tcPr>
                                  <w:tcW w:w="388" w:type="dxa"/>
                                  <w:shd w:val="clear" w:color="auto" w:fill="FFFFFF" w:themeFill="background1"/>
                                </w:tcPr>
                                <w:p w:rsidR="00506C1A" w:rsidRDefault="00506C1A" w:rsidP="00EF51D6"/>
                              </w:tc>
                              <w:tc>
                                <w:tcPr>
                                  <w:tcW w:w="387" w:type="dxa"/>
                                  <w:tcBorders>
                                    <w:top w:val="nil"/>
                                    <w:left w:val="nil"/>
                                    <w:bottom w:val="nil"/>
                                    <w:right w:val="nil"/>
                                  </w:tcBorders>
                                </w:tcPr>
                                <w:p w:rsidR="00506C1A" w:rsidRDefault="00506C1A">
                                  <w:pPr>
                                    <w:jc w:val="center"/>
                                    <w:rPr>
                                      <w:b/>
                                      <w:bCs/>
                                      <w:sz w:val="28"/>
                                    </w:rPr>
                                  </w:pPr>
                                  <w:r>
                                    <w:rPr>
                                      <w:b/>
                                      <w:bCs/>
                                      <w:sz w:val="28"/>
                                    </w:rPr>
                                    <w:t>.</w:t>
                                  </w:r>
                                </w:p>
                              </w:tc>
                              <w:tc>
                                <w:tcPr>
                                  <w:tcW w:w="387" w:type="dxa"/>
                                  <w:shd w:val="clear" w:color="auto" w:fill="FFFFFF" w:themeFill="background1"/>
                                </w:tcPr>
                                <w:p w:rsidR="00506C1A" w:rsidRDefault="00506C1A"/>
                              </w:tc>
                              <w:tc>
                                <w:tcPr>
                                  <w:tcW w:w="387" w:type="dxa"/>
                                  <w:shd w:val="clear" w:color="auto" w:fill="FFFFFF" w:themeFill="background1"/>
                                </w:tcPr>
                                <w:p w:rsidR="00506C1A" w:rsidRDefault="00506C1A">
                                  <w:pPr>
                                    <w:jc w:val="center"/>
                                  </w:pPr>
                                </w:p>
                              </w:tc>
                              <w:tc>
                                <w:tcPr>
                                  <w:tcW w:w="388" w:type="dxa"/>
                                  <w:tcBorders>
                                    <w:top w:val="nil"/>
                                    <w:left w:val="nil"/>
                                    <w:bottom w:val="nil"/>
                                    <w:right w:val="nil"/>
                                  </w:tcBorders>
                                </w:tcPr>
                                <w:p w:rsidR="00506C1A" w:rsidRDefault="00506C1A">
                                  <w:pPr>
                                    <w:jc w:val="center"/>
                                    <w:rPr>
                                      <w:b/>
                                      <w:bCs/>
                                      <w:sz w:val="28"/>
                                    </w:rPr>
                                  </w:pPr>
                                  <w:r>
                                    <w:rPr>
                                      <w:b/>
                                      <w:bCs/>
                                      <w:sz w:val="28"/>
                                    </w:rPr>
                                    <w:t>.</w:t>
                                  </w:r>
                                </w:p>
                              </w:tc>
                              <w:tc>
                                <w:tcPr>
                                  <w:tcW w:w="387" w:type="dxa"/>
                                  <w:shd w:val="clear" w:color="auto" w:fill="FFFFFF" w:themeFill="background1"/>
                                </w:tcPr>
                                <w:p w:rsidR="00506C1A" w:rsidRDefault="00506C1A">
                                  <w:pPr>
                                    <w:jc w:val="center"/>
                                  </w:pPr>
                                </w:p>
                              </w:tc>
                              <w:tc>
                                <w:tcPr>
                                  <w:tcW w:w="390" w:type="dxa"/>
                                  <w:shd w:val="clear" w:color="auto" w:fill="FFFFFF" w:themeFill="background1"/>
                                </w:tcPr>
                                <w:p w:rsidR="00506C1A" w:rsidRDefault="00506C1A">
                                  <w:pPr>
                                    <w:jc w:val="center"/>
                                  </w:pPr>
                                </w:p>
                              </w:tc>
                            </w:tr>
                            <w:tr w:rsidR="00506C1A">
                              <w:trPr>
                                <w:cantSplit/>
                                <w:trHeight w:val="162"/>
                                <w:jc w:val="center"/>
                              </w:trPr>
                              <w:tc>
                                <w:tcPr>
                                  <w:tcW w:w="3101" w:type="dxa"/>
                                  <w:gridSpan w:val="8"/>
                                  <w:tcBorders>
                                    <w:top w:val="nil"/>
                                    <w:left w:val="nil"/>
                                    <w:bottom w:val="nil"/>
                                    <w:right w:val="nil"/>
                                  </w:tcBorders>
                                </w:tcPr>
                                <w:p w:rsidR="00506C1A" w:rsidRDefault="00506C1A">
                                  <w:pPr>
                                    <w:jc w:val="center"/>
                                  </w:pPr>
                                </w:p>
                              </w:tc>
                            </w:tr>
                          </w:tbl>
                          <w:p w:rsidR="00506C1A" w:rsidRDefault="00506C1A" w:rsidP="00201213"/>
                          <w:p w:rsidR="00506C1A" w:rsidRDefault="00506C1A"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06C1A">
                        <w:trPr>
                          <w:cantSplit/>
                          <w:trHeight w:val="356"/>
                          <w:jc w:val="center"/>
                        </w:trPr>
                        <w:tc>
                          <w:tcPr>
                            <w:tcW w:w="3101" w:type="dxa"/>
                            <w:gridSpan w:val="8"/>
                            <w:tcBorders>
                              <w:top w:val="nil"/>
                              <w:left w:val="nil"/>
                              <w:bottom w:val="nil"/>
                              <w:right w:val="nil"/>
                            </w:tcBorders>
                          </w:tcPr>
                          <w:p w:rsidR="00506C1A" w:rsidRPr="006220F9" w:rsidRDefault="00506C1A" w:rsidP="00DE5526">
                            <w:pPr>
                              <w:jc w:val="center"/>
                            </w:pPr>
                            <w:r w:rsidRPr="006220F9">
                              <w:t xml:space="preserve">Дата проведения </w:t>
                            </w:r>
                            <w:r>
                              <w:t>ОГЭ</w:t>
                            </w:r>
                          </w:p>
                        </w:tc>
                      </w:tr>
                      <w:tr w:rsidR="00506C1A" w:rsidTr="00EF51D6">
                        <w:trPr>
                          <w:trHeight w:val="162"/>
                          <w:jc w:val="center"/>
                        </w:trPr>
                        <w:tc>
                          <w:tcPr>
                            <w:tcW w:w="387" w:type="dxa"/>
                            <w:shd w:val="clear" w:color="auto" w:fill="FFFFFF" w:themeFill="background1"/>
                          </w:tcPr>
                          <w:p w:rsidR="00506C1A" w:rsidRDefault="00506C1A">
                            <w:pPr>
                              <w:jc w:val="center"/>
                            </w:pPr>
                          </w:p>
                        </w:tc>
                        <w:tc>
                          <w:tcPr>
                            <w:tcW w:w="388" w:type="dxa"/>
                            <w:shd w:val="clear" w:color="auto" w:fill="FFFFFF" w:themeFill="background1"/>
                          </w:tcPr>
                          <w:p w:rsidR="00506C1A" w:rsidRDefault="00506C1A" w:rsidP="00EF51D6"/>
                        </w:tc>
                        <w:tc>
                          <w:tcPr>
                            <w:tcW w:w="387" w:type="dxa"/>
                            <w:tcBorders>
                              <w:top w:val="nil"/>
                              <w:left w:val="nil"/>
                              <w:bottom w:val="nil"/>
                              <w:right w:val="nil"/>
                            </w:tcBorders>
                          </w:tcPr>
                          <w:p w:rsidR="00506C1A" w:rsidRDefault="00506C1A">
                            <w:pPr>
                              <w:jc w:val="center"/>
                              <w:rPr>
                                <w:b/>
                                <w:bCs/>
                                <w:sz w:val="28"/>
                              </w:rPr>
                            </w:pPr>
                            <w:r>
                              <w:rPr>
                                <w:b/>
                                <w:bCs/>
                                <w:sz w:val="28"/>
                              </w:rPr>
                              <w:t>.</w:t>
                            </w:r>
                          </w:p>
                        </w:tc>
                        <w:tc>
                          <w:tcPr>
                            <w:tcW w:w="387" w:type="dxa"/>
                            <w:shd w:val="clear" w:color="auto" w:fill="FFFFFF" w:themeFill="background1"/>
                          </w:tcPr>
                          <w:p w:rsidR="00506C1A" w:rsidRDefault="00506C1A"/>
                        </w:tc>
                        <w:tc>
                          <w:tcPr>
                            <w:tcW w:w="387" w:type="dxa"/>
                            <w:shd w:val="clear" w:color="auto" w:fill="FFFFFF" w:themeFill="background1"/>
                          </w:tcPr>
                          <w:p w:rsidR="00506C1A" w:rsidRDefault="00506C1A">
                            <w:pPr>
                              <w:jc w:val="center"/>
                            </w:pPr>
                          </w:p>
                        </w:tc>
                        <w:tc>
                          <w:tcPr>
                            <w:tcW w:w="388" w:type="dxa"/>
                            <w:tcBorders>
                              <w:top w:val="nil"/>
                              <w:left w:val="nil"/>
                              <w:bottom w:val="nil"/>
                              <w:right w:val="nil"/>
                            </w:tcBorders>
                          </w:tcPr>
                          <w:p w:rsidR="00506C1A" w:rsidRDefault="00506C1A">
                            <w:pPr>
                              <w:jc w:val="center"/>
                              <w:rPr>
                                <w:b/>
                                <w:bCs/>
                                <w:sz w:val="28"/>
                              </w:rPr>
                            </w:pPr>
                            <w:r>
                              <w:rPr>
                                <w:b/>
                                <w:bCs/>
                                <w:sz w:val="28"/>
                              </w:rPr>
                              <w:t>.</w:t>
                            </w:r>
                          </w:p>
                        </w:tc>
                        <w:tc>
                          <w:tcPr>
                            <w:tcW w:w="387" w:type="dxa"/>
                            <w:shd w:val="clear" w:color="auto" w:fill="FFFFFF" w:themeFill="background1"/>
                          </w:tcPr>
                          <w:p w:rsidR="00506C1A" w:rsidRDefault="00506C1A">
                            <w:pPr>
                              <w:jc w:val="center"/>
                            </w:pPr>
                          </w:p>
                        </w:tc>
                        <w:tc>
                          <w:tcPr>
                            <w:tcW w:w="390" w:type="dxa"/>
                            <w:shd w:val="clear" w:color="auto" w:fill="FFFFFF" w:themeFill="background1"/>
                          </w:tcPr>
                          <w:p w:rsidR="00506C1A" w:rsidRDefault="00506C1A">
                            <w:pPr>
                              <w:jc w:val="center"/>
                            </w:pPr>
                          </w:p>
                        </w:tc>
                      </w:tr>
                      <w:tr w:rsidR="00506C1A">
                        <w:trPr>
                          <w:cantSplit/>
                          <w:trHeight w:val="162"/>
                          <w:jc w:val="center"/>
                        </w:trPr>
                        <w:tc>
                          <w:tcPr>
                            <w:tcW w:w="3101" w:type="dxa"/>
                            <w:gridSpan w:val="8"/>
                            <w:tcBorders>
                              <w:top w:val="nil"/>
                              <w:left w:val="nil"/>
                              <w:bottom w:val="nil"/>
                              <w:right w:val="nil"/>
                            </w:tcBorders>
                          </w:tcPr>
                          <w:p w:rsidR="00506C1A" w:rsidRDefault="00506C1A">
                            <w:pPr>
                              <w:jc w:val="center"/>
                            </w:pPr>
                          </w:p>
                        </w:tc>
                      </w:tr>
                    </w:tbl>
                    <w:p w:rsidR="00506C1A" w:rsidRDefault="00506C1A" w:rsidP="00201213"/>
                    <w:p w:rsidR="00506C1A" w:rsidRDefault="00506C1A"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06C1A" w:rsidRPr="006220F9" w:rsidTr="00DE5526">
                              <w:trPr>
                                <w:cantSplit/>
                                <w:trHeight w:val="245"/>
                              </w:trPr>
                              <w:tc>
                                <w:tcPr>
                                  <w:tcW w:w="866" w:type="dxa"/>
                                  <w:gridSpan w:val="2"/>
                                  <w:vMerge w:val="restart"/>
                                  <w:tcBorders>
                                    <w:top w:val="nil"/>
                                    <w:left w:val="nil"/>
                                    <w:bottom w:val="single" w:sz="4" w:space="0" w:color="000000"/>
                                    <w:right w:val="nil"/>
                                  </w:tcBorders>
                                </w:tcPr>
                                <w:p w:rsidR="00506C1A" w:rsidRPr="00EA1FCE" w:rsidRDefault="00506C1A">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06C1A" w:rsidRPr="00EA1FCE" w:rsidRDefault="00506C1A">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06C1A" w:rsidRPr="00EA1FCE" w:rsidRDefault="00506C1A"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06C1A" w:rsidRPr="00EA1FCE" w:rsidRDefault="00506C1A">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06C1A" w:rsidRPr="00EA1FCE" w:rsidRDefault="00506C1A"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06C1A" w:rsidRPr="006220F9" w:rsidRDefault="00506C1A">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Номер аудитории</w:t>
                                  </w:r>
                                </w:p>
                              </w:tc>
                            </w:tr>
                            <w:tr w:rsidR="00506C1A" w:rsidRPr="006220F9" w:rsidTr="00DE5526">
                              <w:trPr>
                                <w:cantSplit/>
                                <w:trHeight w:val="634"/>
                              </w:trPr>
                              <w:tc>
                                <w:tcPr>
                                  <w:tcW w:w="0" w:type="auto"/>
                                  <w:gridSpan w:val="2"/>
                                  <w:vMerge/>
                                  <w:tcBorders>
                                    <w:top w:val="nil"/>
                                    <w:left w:val="nil"/>
                                    <w:bottom w:val="single" w:sz="4" w:space="0" w:color="000000"/>
                                    <w:right w:val="nil"/>
                                  </w:tcBorders>
                                  <w:vAlign w:val="center"/>
                                </w:tcPr>
                                <w:p w:rsidR="00506C1A" w:rsidRPr="00EA1FCE" w:rsidRDefault="00506C1A">
                                  <w:pPr>
                                    <w:rPr>
                                      <w:rFonts w:eastAsia="Arial Unicode MS"/>
                                      <w:b/>
                                      <w:sz w:val="18"/>
                                      <w:szCs w:val="18"/>
                                    </w:rPr>
                                  </w:pPr>
                                </w:p>
                              </w:tc>
                              <w:tc>
                                <w:tcPr>
                                  <w:tcW w:w="215" w:type="dxa"/>
                                  <w:vMerge/>
                                  <w:tcBorders>
                                    <w:top w:val="nil"/>
                                    <w:left w:val="nil"/>
                                    <w:bottom w:val="nil"/>
                                    <w:right w:val="nil"/>
                                  </w:tcBorders>
                                  <w:vAlign w:val="center"/>
                                </w:tcPr>
                                <w:p w:rsidR="00506C1A" w:rsidRPr="00EA1FCE" w:rsidRDefault="00506C1A">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c>
                                <w:tcPr>
                                  <w:tcW w:w="0" w:type="auto"/>
                                  <w:vMerge/>
                                  <w:tcBorders>
                                    <w:top w:val="nil"/>
                                    <w:left w:val="nil"/>
                                    <w:bottom w:val="nil"/>
                                    <w:right w:val="nil"/>
                                  </w:tcBorders>
                                  <w:vAlign w:val="center"/>
                                </w:tcPr>
                                <w:p w:rsidR="00506C1A" w:rsidRPr="00EA1FCE" w:rsidRDefault="00506C1A">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c>
                                <w:tcPr>
                                  <w:tcW w:w="156" w:type="dxa"/>
                                  <w:vMerge/>
                                  <w:tcBorders>
                                    <w:top w:val="nil"/>
                                    <w:left w:val="nil"/>
                                    <w:bottom w:val="nil"/>
                                    <w:right w:val="nil"/>
                                  </w:tcBorders>
                                  <w:vAlign w:val="center"/>
                                </w:tcPr>
                                <w:p w:rsidR="00506C1A" w:rsidRPr="006220F9" w:rsidRDefault="00506C1A">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06C1A" w:rsidRPr="00EA1FCE" w:rsidRDefault="00506C1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r>
                            <w:tr w:rsidR="00506C1A"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06C1A" w:rsidRPr="00EA1FCE" w:rsidRDefault="00506C1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06C1A" w:rsidRPr="00EA1FCE" w:rsidRDefault="00506C1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06C1A" w:rsidRPr="006220F9" w:rsidRDefault="00506C1A">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06C1A" w:rsidRPr="006220F9" w:rsidRDefault="00506C1A">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sz w:val="18"/>
                                      <w:szCs w:val="18"/>
                                    </w:rPr>
                                  </w:pPr>
                                  <w:r w:rsidRPr="00EA1FCE">
                                    <w:rPr>
                                      <w:sz w:val="18"/>
                                      <w:szCs w:val="18"/>
                                    </w:rPr>
                                    <w:t> </w:t>
                                  </w:r>
                                </w:p>
                              </w:tc>
                            </w:tr>
                            <w:tr w:rsidR="00506C1A"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sz w:val="18"/>
                                      <w:szCs w:val="18"/>
                                    </w:rPr>
                                  </w:pPr>
                                </w:p>
                              </w:tc>
                            </w:tr>
                            <w:tr w:rsidR="00506C1A" w:rsidRPr="006220F9" w:rsidTr="00DE5526">
                              <w:trPr>
                                <w:trHeight w:val="561"/>
                              </w:trPr>
                              <w:tc>
                                <w:tcPr>
                                  <w:tcW w:w="866" w:type="dxa"/>
                                  <w:gridSpan w:val="2"/>
                                  <w:tcBorders>
                                    <w:top w:val="nil"/>
                                    <w:left w:val="nil"/>
                                    <w:bottom w:val="single" w:sz="4" w:space="0" w:color="auto"/>
                                    <w:right w:val="nil"/>
                                  </w:tcBorders>
                                </w:tcPr>
                                <w:p w:rsidR="00506C1A" w:rsidRPr="00EA1FCE" w:rsidRDefault="00506C1A">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06C1A" w:rsidRPr="00EA1FCE" w:rsidRDefault="00506C1A">
                                  <w:pPr>
                                    <w:jc w:val="center"/>
                                    <w:rPr>
                                      <w:rFonts w:eastAsia="Arial Unicode MS"/>
                                      <w:b/>
                                      <w:sz w:val="18"/>
                                      <w:szCs w:val="18"/>
                                    </w:rPr>
                                  </w:pPr>
                                </w:p>
                              </w:tc>
                              <w:tc>
                                <w:tcPr>
                                  <w:tcW w:w="3853" w:type="dxa"/>
                                  <w:gridSpan w:val="9"/>
                                  <w:tcBorders>
                                    <w:top w:val="nil"/>
                                    <w:left w:val="nil"/>
                                    <w:bottom w:val="single" w:sz="4" w:space="0" w:color="auto"/>
                                    <w:right w:val="nil"/>
                                  </w:tcBorders>
                                </w:tcPr>
                                <w:p w:rsidR="00506C1A" w:rsidRPr="00EA1FCE" w:rsidRDefault="00506C1A"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06C1A" w:rsidRPr="00EA1FCE" w:rsidRDefault="00506C1A">
                                  <w:pPr>
                                    <w:jc w:val="center"/>
                                    <w:rPr>
                                      <w:rFonts w:eastAsia="Arial Unicode MS"/>
                                      <w:b/>
                                      <w:sz w:val="18"/>
                                      <w:szCs w:val="18"/>
                                    </w:rPr>
                                  </w:pPr>
                                </w:p>
                              </w:tc>
                              <w:tc>
                                <w:tcPr>
                                  <w:tcW w:w="156" w:type="dxa"/>
                                  <w:tcBorders>
                                    <w:top w:val="nil"/>
                                    <w:left w:val="nil"/>
                                    <w:bottom w:val="nil"/>
                                    <w:right w:val="nil"/>
                                  </w:tcBorders>
                                </w:tcPr>
                                <w:p w:rsidR="00506C1A" w:rsidRPr="006220F9" w:rsidRDefault="00506C1A">
                                  <w:pPr>
                                    <w:jc w:val="cente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208" w:type="dxa"/>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r>
                            <w:tr w:rsidR="00506C1A"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06C1A" w:rsidRPr="00EA1FCE" w:rsidRDefault="00506C1A">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06C1A" w:rsidRPr="00EA1FCE" w:rsidRDefault="00506C1A">
                                  <w:pPr>
                                    <w:jc w:val="both"/>
                                    <w:rPr>
                                      <w:rFonts w:eastAsia="Arial Unicode MS"/>
                                      <w:sz w:val="18"/>
                                      <w:szCs w:val="18"/>
                                    </w:rPr>
                                  </w:pPr>
                                </w:p>
                              </w:tc>
                              <w:tc>
                                <w:tcPr>
                                  <w:tcW w:w="156" w:type="dxa"/>
                                  <w:tcBorders>
                                    <w:top w:val="nil"/>
                                    <w:left w:val="nil"/>
                                    <w:bottom w:val="nil"/>
                                    <w:right w:val="nil"/>
                                  </w:tcBorders>
                                </w:tcPr>
                                <w:p w:rsidR="00506C1A" w:rsidRPr="006220F9" w:rsidRDefault="00506C1A">
                                  <w:pPr>
                                    <w:jc w:val="both"/>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208" w:type="dxa"/>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r>
                          </w:tbl>
                          <w:p w:rsidR="00506C1A" w:rsidRPr="00401CBE" w:rsidRDefault="00506C1A" w:rsidP="00201213">
                            <w:pPr>
                              <w:jc w:val="both"/>
                              <w:rPr>
                                <w:i/>
                              </w:rPr>
                            </w:pPr>
                          </w:p>
                          <w:p w:rsidR="00506C1A" w:rsidRDefault="00506C1A" w:rsidP="00201213">
                            <w:pPr>
                              <w:jc w:val="both"/>
                              <w:rPr>
                                <w:i/>
                                <w:lang w:val="en-US"/>
                              </w:rPr>
                            </w:pPr>
                          </w:p>
                          <w:p w:rsidR="00506C1A" w:rsidRDefault="00506C1A"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06C1A" w:rsidRPr="006220F9" w:rsidTr="00DE5526">
                        <w:trPr>
                          <w:cantSplit/>
                          <w:trHeight w:val="245"/>
                        </w:trPr>
                        <w:tc>
                          <w:tcPr>
                            <w:tcW w:w="866" w:type="dxa"/>
                            <w:gridSpan w:val="2"/>
                            <w:vMerge w:val="restart"/>
                            <w:tcBorders>
                              <w:top w:val="nil"/>
                              <w:left w:val="nil"/>
                              <w:bottom w:val="single" w:sz="4" w:space="0" w:color="000000"/>
                              <w:right w:val="nil"/>
                            </w:tcBorders>
                          </w:tcPr>
                          <w:p w:rsidR="00506C1A" w:rsidRPr="00EA1FCE" w:rsidRDefault="00506C1A">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06C1A" w:rsidRPr="00EA1FCE" w:rsidRDefault="00506C1A">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06C1A" w:rsidRPr="00EA1FCE" w:rsidRDefault="00506C1A"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06C1A" w:rsidRPr="00EA1FCE" w:rsidRDefault="00506C1A">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06C1A" w:rsidRPr="00EA1FCE" w:rsidRDefault="00506C1A"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06C1A" w:rsidRPr="006220F9" w:rsidRDefault="00506C1A">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Номер аудитории</w:t>
                            </w:r>
                          </w:p>
                        </w:tc>
                      </w:tr>
                      <w:tr w:rsidR="00506C1A" w:rsidRPr="006220F9" w:rsidTr="00DE5526">
                        <w:trPr>
                          <w:cantSplit/>
                          <w:trHeight w:val="634"/>
                        </w:trPr>
                        <w:tc>
                          <w:tcPr>
                            <w:tcW w:w="0" w:type="auto"/>
                            <w:gridSpan w:val="2"/>
                            <w:vMerge/>
                            <w:tcBorders>
                              <w:top w:val="nil"/>
                              <w:left w:val="nil"/>
                              <w:bottom w:val="single" w:sz="4" w:space="0" w:color="000000"/>
                              <w:right w:val="nil"/>
                            </w:tcBorders>
                            <w:vAlign w:val="center"/>
                          </w:tcPr>
                          <w:p w:rsidR="00506C1A" w:rsidRPr="00EA1FCE" w:rsidRDefault="00506C1A">
                            <w:pPr>
                              <w:rPr>
                                <w:rFonts w:eastAsia="Arial Unicode MS"/>
                                <w:b/>
                                <w:sz w:val="18"/>
                                <w:szCs w:val="18"/>
                              </w:rPr>
                            </w:pPr>
                          </w:p>
                        </w:tc>
                        <w:tc>
                          <w:tcPr>
                            <w:tcW w:w="215" w:type="dxa"/>
                            <w:vMerge/>
                            <w:tcBorders>
                              <w:top w:val="nil"/>
                              <w:left w:val="nil"/>
                              <w:bottom w:val="nil"/>
                              <w:right w:val="nil"/>
                            </w:tcBorders>
                            <w:vAlign w:val="center"/>
                          </w:tcPr>
                          <w:p w:rsidR="00506C1A" w:rsidRPr="00EA1FCE" w:rsidRDefault="00506C1A">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c>
                          <w:tcPr>
                            <w:tcW w:w="0" w:type="auto"/>
                            <w:vMerge/>
                            <w:tcBorders>
                              <w:top w:val="nil"/>
                              <w:left w:val="nil"/>
                              <w:bottom w:val="nil"/>
                              <w:right w:val="nil"/>
                            </w:tcBorders>
                            <w:vAlign w:val="center"/>
                          </w:tcPr>
                          <w:p w:rsidR="00506C1A" w:rsidRPr="00EA1FCE" w:rsidRDefault="00506C1A">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c>
                          <w:tcPr>
                            <w:tcW w:w="156" w:type="dxa"/>
                            <w:vMerge/>
                            <w:tcBorders>
                              <w:top w:val="nil"/>
                              <w:left w:val="nil"/>
                              <w:bottom w:val="nil"/>
                              <w:right w:val="nil"/>
                            </w:tcBorders>
                            <w:vAlign w:val="center"/>
                          </w:tcPr>
                          <w:p w:rsidR="00506C1A" w:rsidRPr="006220F9" w:rsidRDefault="00506C1A">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06C1A" w:rsidRPr="00EA1FCE" w:rsidRDefault="00506C1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06C1A" w:rsidRPr="00EA1FCE" w:rsidRDefault="00506C1A">
                            <w:pPr>
                              <w:rPr>
                                <w:rFonts w:eastAsia="Arial Unicode MS"/>
                                <w:b/>
                                <w:sz w:val="18"/>
                                <w:szCs w:val="18"/>
                              </w:rPr>
                            </w:pPr>
                          </w:p>
                        </w:tc>
                      </w:tr>
                      <w:tr w:rsidR="00506C1A"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06C1A" w:rsidRPr="00EA1FCE" w:rsidRDefault="00506C1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06C1A" w:rsidRPr="00EA1FCE" w:rsidRDefault="00506C1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06C1A" w:rsidRPr="006220F9" w:rsidRDefault="00506C1A">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06C1A" w:rsidRPr="006220F9" w:rsidRDefault="00506C1A">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06C1A" w:rsidRPr="00EA1FCE" w:rsidRDefault="00506C1A">
                            <w:pPr>
                              <w:jc w:val="both"/>
                              <w:rPr>
                                <w:rFonts w:eastAsia="Arial Unicode MS"/>
                                <w:sz w:val="18"/>
                                <w:szCs w:val="18"/>
                              </w:rPr>
                            </w:pPr>
                            <w:r w:rsidRPr="00EA1FCE">
                              <w:rPr>
                                <w:sz w:val="18"/>
                                <w:szCs w:val="18"/>
                              </w:rPr>
                              <w:t> </w:t>
                            </w:r>
                          </w:p>
                        </w:tc>
                      </w:tr>
                      <w:tr w:rsidR="00506C1A"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EA1FCE"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06C1A" w:rsidRPr="006220F9" w:rsidRDefault="00506C1A">
                            <w:pPr>
                              <w:rPr>
                                <w:rFonts w:eastAsia="Arial Unicode MS"/>
                                <w:sz w:val="18"/>
                                <w:szCs w:val="18"/>
                              </w:rPr>
                            </w:pPr>
                          </w:p>
                        </w:tc>
                      </w:tr>
                      <w:tr w:rsidR="00506C1A" w:rsidRPr="006220F9" w:rsidTr="00DE5526">
                        <w:trPr>
                          <w:trHeight w:val="561"/>
                        </w:trPr>
                        <w:tc>
                          <w:tcPr>
                            <w:tcW w:w="866" w:type="dxa"/>
                            <w:gridSpan w:val="2"/>
                            <w:tcBorders>
                              <w:top w:val="nil"/>
                              <w:left w:val="nil"/>
                              <w:bottom w:val="single" w:sz="4" w:space="0" w:color="auto"/>
                              <w:right w:val="nil"/>
                            </w:tcBorders>
                          </w:tcPr>
                          <w:p w:rsidR="00506C1A" w:rsidRPr="00EA1FCE" w:rsidRDefault="00506C1A">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06C1A" w:rsidRPr="00EA1FCE" w:rsidRDefault="00506C1A">
                            <w:pPr>
                              <w:jc w:val="center"/>
                              <w:rPr>
                                <w:rFonts w:eastAsia="Arial Unicode MS"/>
                                <w:b/>
                                <w:sz w:val="18"/>
                                <w:szCs w:val="18"/>
                              </w:rPr>
                            </w:pPr>
                          </w:p>
                        </w:tc>
                        <w:tc>
                          <w:tcPr>
                            <w:tcW w:w="3853" w:type="dxa"/>
                            <w:gridSpan w:val="9"/>
                            <w:tcBorders>
                              <w:top w:val="nil"/>
                              <w:left w:val="nil"/>
                              <w:bottom w:val="single" w:sz="4" w:space="0" w:color="auto"/>
                              <w:right w:val="nil"/>
                            </w:tcBorders>
                          </w:tcPr>
                          <w:p w:rsidR="00506C1A" w:rsidRPr="00EA1FCE" w:rsidRDefault="00506C1A"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06C1A" w:rsidRPr="00EA1FCE" w:rsidRDefault="00506C1A">
                            <w:pPr>
                              <w:jc w:val="center"/>
                              <w:rPr>
                                <w:rFonts w:eastAsia="Arial Unicode MS"/>
                                <w:b/>
                                <w:sz w:val="18"/>
                                <w:szCs w:val="18"/>
                              </w:rPr>
                            </w:pPr>
                          </w:p>
                        </w:tc>
                        <w:tc>
                          <w:tcPr>
                            <w:tcW w:w="156" w:type="dxa"/>
                            <w:tcBorders>
                              <w:top w:val="nil"/>
                              <w:left w:val="nil"/>
                              <w:bottom w:val="nil"/>
                              <w:right w:val="nil"/>
                            </w:tcBorders>
                          </w:tcPr>
                          <w:p w:rsidR="00506C1A" w:rsidRPr="006220F9" w:rsidRDefault="00506C1A">
                            <w:pPr>
                              <w:jc w:val="cente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208" w:type="dxa"/>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r>
                      <w:tr w:rsidR="00506C1A"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06C1A" w:rsidRPr="00EA1FCE" w:rsidRDefault="00506C1A">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06C1A" w:rsidRPr="00EA1FCE" w:rsidRDefault="00506C1A">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06C1A" w:rsidRPr="00EA1FCE" w:rsidRDefault="00506C1A">
                            <w:pPr>
                              <w:jc w:val="both"/>
                              <w:rPr>
                                <w:rFonts w:eastAsia="Arial Unicode MS"/>
                                <w:sz w:val="18"/>
                                <w:szCs w:val="18"/>
                              </w:rPr>
                            </w:pPr>
                          </w:p>
                        </w:tc>
                        <w:tc>
                          <w:tcPr>
                            <w:tcW w:w="156" w:type="dxa"/>
                            <w:tcBorders>
                              <w:top w:val="nil"/>
                              <w:left w:val="nil"/>
                              <w:bottom w:val="nil"/>
                              <w:right w:val="nil"/>
                            </w:tcBorders>
                          </w:tcPr>
                          <w:p w:rsidR="00506C1A" w:rsidRPr="006220F9" w:rsidRDefault="00506C1A">
                            <w:pPr>
                              <w:jc w:val="both"/>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vAlign w:val="bottom"/>
                          </w:tcPr>
                          <w:p w:rsidR="00506C1A" w:rsidRPr="006220F9" w:rsidRDefault="00506C1A">
                            <w:pPr>
                              <w:rPr>
                                <w:rFonts w:eastAsia="Arial Unicode MS"/>
                                <w:sz w:val="18"/>
                                <w:szCs w:val="18"/>
                              </w:rPr>
                            </w:pPr>
                          </w:p>
                        </w:tc>
                        <w:tc>
                          <w:tcPr>
                            <w:tcW w:w="208" w:type="dxa"/>
                            <w:tcBorders>
                              <w:top w:val="nil"/>
                              <w:left w:val="nil"/>
                              <w:bottom w:val="nil"/>
                              <w:right w:val="nil"/>
                            </w:tcBorders>
                            <w:noWrap/>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06C1A" w:rsidRPr="006220F9" w:rsidRDefault="00506C1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06C1A" w:rsidRPr="006220F9" w:rsidRDefault="00506C1A">
                            <w:pPr>
                              <w:rPr>
                                <w:rFonts w:eastAsia="Arial Unicode MS"/>
                                <w:sz w:val="18"/>
                                <w:szCs w:val="18"/>
                              </w:rPr>
                            </w:pPr>
                          </w:p>
                        </w:tc>
                      </w:tr>
                    </w:tbl>
                    <w:p w:rsidR="00506C1A" w:rsidRPr="00401CBE" w:rsidRDefault="00506C1A" w:rsidP="00201213">
                      <w:pPr>
                        <w:jc w:val="both"/>
                        <w:rPr>
                          <w:i/>
                        </w:rPr>
                      </w:pPr>
                    </w:p>
                    <w:p w:rsidR="00506C1A" w:rsidRDefault="00506C1A" w:rsidP="00201213">
                      <w:pPr>
                        <w:jc w:val="both"/>
                        <w:rPr>
                          <w:i/>
                          <w:lang w:val="en-US"/>
                        </w:rPr>
                      </w:pPr>
                    </w:p>
                    <w:p w:rsidR="00506C1A" w:rsidRDefault="00506C1A"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 xml:space="preserve">атематике – </w:t>
      </w:r>
      <w:r w:rsidRPr="00F97A45">
        <w:rPr>
          <w:i/>
          <w:sz w:val="26"/>
        </w:rPr>
        <w:lastRenderedPageBreak/>
        <w:t>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5"/>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lastRenderedPageBreak/>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6"/>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lastRenderedPageBreak/>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lastRenderedPageBreak/>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lastRenderedPageBreak/>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506C1A" w:rsidRDefault="00506C1A" w:rsidP="008D0987">
      <w:pPr>
        <w:pStyle w:val="11"/>
        <w:rPr>
          <w:rFonts w:eastAsia="Calibri"/>
          <w:lang w:eastAsia="en-US"/>
        </w:rPr>
      </w:pPr>
      <w:bookmarkStart w:id="63" w:name="_Toc410235149"/>
      <w:bookmarkStart w:id="64" w:name="_Toc439322497"/>
    </w:p>
    <w:p w:rsidR="00506C1A" w:rsidRDefault="00506C1A" w:rsidP="008D0987">
      <w:pPr>
        <w:pStyle w:val="11"/>
        <w:rPr>
          <w:rFonts w:eastAsia="Calibri"/>
          <w:lang w:eastAsia="en-US"/>
        </w:rPr>
      </w:pPr>
    </w:p>
    <w:p w:rsidR="00506C1A" w:rsidRPr="00506C1A" w:rsidRDefault="00506C1A" w:rsidP="00506C1A">
      <w:pPr>
        <w:rPr>
          <w:rFonts w:eastAsia="Calibri"/>
          <w:lang w:eastAsia="en-US"/>
        </w:rPr>
      </w:pPr>
    </w:p>
    <w:p w:rsidR="00506C1A" w:rsidRDefault="00506C1A" w:rsidP="008D0987">
      <w:pPr>
        <w:pStyle w:val="11"/>
        <w:rPr>
          <w:rFonts w:eastAsia="Calibri"/>
          <w:lang w:eastAsia="en-US"/>
        </w:rPr>
      </w:pPr>
    </w:p>
    <w:p w:rsidR="00506C1A" w:rsidRDefault="00506C1A" w:rsidP="008D0987">
      <w:pPr>
        <w:pStyle w:val="11"/>
        <w:rPr>
          <w:rFonts w:eastAsia="Calibri"/>
          <w:lang w:eastAsia="en-US"/>
        </w:rPr>
      </w:pPr>
    </w:p>
    <w:p w:rsidR="00FE4A4B" w:rsidRPr="00F97A45" w:rsidRDefault="00FE4A4B" w:rsidP="008D0987">
      <w:pPr>
        <w:pStyle w:val="11"/>
        <w:rPr>
          <w:rFonts w:eastAsia="Calibri"/>
          <w:lang w:eastAsia="en-US"/>
        </w:rPr>
      </w:pPr>
      <w:r w:rsidRPr="00F97A45">
        <w:rPr>
          <w:rFonts w:eastAsia="Calibri"/>
          <w:lang w:eastAsia="en-US"/>
        </w:rPr>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63"/>
      <w:bookmarkEnd w:id="64"/>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 xml:space="preserve">таблица растворимости солей, </w:t>
            </w:r>
            <w:r w:rsidRPr="00F97A45">
              <w:rPr>
                <w:sz w:val="26"/>
                <w:szCs w:val="26"/>
              </w:rPr>
              <w:lastRenderedPageBreak/>
              <w:t>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lastRenderedPageBreak/>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lastRenderedPageBreak/>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w:t>
            </w:r>
            <w:r w:rsidRPr="00F97A45">
              <w:rPr>
                <w:sz w:val="26"/>
                <w:szCs w:val="26"/>
              </w:rPr>
              <w:lastRenderedPageBreak/>
              <w:t xml:space="preserve">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 xml:space="preserve">омпакт-дисках </w:t>
            </w:r>
            <w:r w:rsidRPr="00F97A45">
              <w:rPr>
                <w:rFonts w:ascii="TimesNewRomanPSMT" w:eastAsia="Calibri" w:hAnsi="TimesNewRomanPSMT" w:cs="TimesNewRomanPSMT"/>
                <w:sz w:val="26"/>
                <w:szCs w:val="19"/>
              </w:rPr>
              <w:lastRenderedPageBreak/>
              <w:t>(С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w:t>
            </w:r>
            <w:r w:rsidRPr="00F97A45">
              <w:rPr>
                <w:sz w:val="26"/>
                <w:szCs w:val="26"/>
              </w:rPr>
              <w:lastRenderedPageBreak/>
              <w:t>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 xml:space="preserve">Часть 2 содержит 2 задания высокого </w:t>
            </w:r>
            <w:r w:rsidRPr="00F97A45">
              <w:rPr>
                <w:rFonts w:eastAsia="Calibri"/>
                <w:sz w:val="26"/>
              </w:rPr>
              <w:lastRenderedPageBreak/>
              <w:t>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lastRenderedPageBreak/>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headerReference w:type="default" r:id="rId14"/>
          <w:footerReference w:type="even" r:id="rId15"/>
          <w:footerReference w:type="default" r:id="rId16"/>
          <w:pgSz w:w="16838" w:h="11906" w:orient="landscape"/>
          <w:pgMar w:top="1701" w:right="1134" w:bottom="851" w:left="1134" w:header="709" w:footer="709" w:gutter="0"/>
          <w:cols w:space="708"/>
          <w:docGrid w:linePitch="360"/>
        </w:sectPr>
      </w:pPr>
      <w:bookmarkStart w:id="65" w:name="_GoBack"/>
      <w:bookmarkEnd w:id="65"/>
    </w:p>
    <w:p w:rsidR="0043404E" w:rsidRPr="00F97A45" w:rsidRDefault="0043404E" w:rsidP="00506C1A">
      <w:pPr>
        <w:pStyle w:val="11"/>
        <w:jc w:val="left"/>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9B" w:rsidRDefault="0094759B" w:rsidP="000F30D0">
      <w:r>
        <w:separator/>
      </w:r>
    </w:p>
  </w:endnote>
  <w:endnote w:type="continuationSeparator" w:id="0">
    <w:p w:rsidR="0094759B" w:rsidRDefault="0094759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1A" w:rsidRDefault="00506C1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06C1A" w:rsidRDefault="00506C1A"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1A" w:rsidRDefault="00506C1A">
    <w:pPr>
      <w:pStyle w:val="af4"/>
      <w:jc w:val="right"/>
    </w:pPr>
    <w:r>
      <w:fldChar w:fldCharType="begin"/>
    </w:r>
    <w:r>
      <w:instrText xml:space="preserve"> PAGE   \* MERGEFORMAT </w:instrText>
    </w:r>
    <w:r>
      <w:fldChar w:fldCharType="separate"/>
    </w:r>
    <w:r w:rsidR="006F4708">
      <w:rPr>
        <w:noProof/>
      </w:rPr>
      <w:t>45</w:t>
    </w:r>
    <w:r>
      <w:rPr>
        <w:noProof/>
      </w:rPr>
      <w:fldChar w:fldCharType="end"/>
    </w:r>
  </w:p>
  <w:p w:rsidR="00506C1A" w:rsidRDefault="00506C1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9B" w:rsidRDefault="0094759B" w:rsidP="000F30D0">
      <w:r>
        <w:separator/>
      </w:r>
    </w:p>
  </w:footnote>
  <w:footnote w:type="continuationSeparator" w:id="0">
    <w:p w:rsidR="0094759B" w:rsidRDefault="0094759B" w:rsidP="000F30D0">
      <w:r>
        <w:continuationSeparator/>
      </w:r>
    </w:p>
  </w:footnote>
  <w:footnote w:id="1">
    <w:p w:rsidR="00506C1A" w:rsidRDefault="00506C1A"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2">
    <w:p w:rsidR="00506C1A" w:rsidRDefault="00506C1A"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3">
    <w:p w:rsidR="00506C1A" w:rsidRDefault="00506C1A">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4">
    <w:p w:rsidR="00506C1A" w:rsidRDefault="00506C1A"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5">
    <w:p w:rsidR="00506C1A" w:rsidRPr="006348CF" w:rsidRDefault="00506C1A"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06C1A" w:rsidRPr="006348CF" w:rsidRDefault="00506C1A"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06C1A" w:rsidRPr="00693674" w:rsidRDefault="00506C1A"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6">
    <w:p w:rsidR="00506C1A" w:rsidRPr="006348CF" w:rsidRDefault="00506C1A"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06C1A" w:rsidRPr="006348CF" w:rsidRDefault="00506C1A"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06C1A" w:rsidRPr="00693674" w:rsidRDefault="00506C1A"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1A" w:rsidRDefault="00506C1A">
    <w:pPr>
      <w:pStyle w:val="af2"/>
      <w:jc w:val="right"/>
    </w:pPr>
  </w:p>
  <w:p w:rsidR="00506C1A" w:rsidRDefault="00506C1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6C1A"/>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6F4708"/>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4759B"/>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67D6-BD5E-4D37-B09E-7EFD0E9F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70531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Галина</cp:lastModifiedBy>
  <cp:revision>9</cp:revision>
  <cp:lastPrinted>2016-02-05T06:44:00Z</cp:lastPrinted>
  <dcterms:created xsi:type="dcterms:W3CDTF">2015-12-30T18:06:00Z</dcterms:created>
  <dcterms:modified xsi:type="dcterms:W3CDTF">2016-02-05T06:50:00Z</dcterms:modified>
</cp:coreProperties>
</file>